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78DF" w14:textId="4B085DA3" w:rsidR="00CB4D8F" w:rsidRPr="00F047E9" w:rsidRDefault="00A55E42">
      <w:pPr>
        <w:rPr>
          <w:b/>
          <w:bCs/>
        </w:rPr>
      </w:pPr>
      <w:r w:rsidRPr="00F047E9">
        <w:rPr>
          <w:b/>
          <w:bCs/>
        </w:rPr>
        <w:t xml:space="preserve">Miljöpolicy </w:t>
      </w:r>
      <w:r w:rsidR="00A704E4">
        <w:rPr>
          <w:b/>
          <w:bCs/>
        </w:rPr>
        <w:t xml:space="preserve">för Runns Segelsällskap </w:t>
      </w:r>
      <w:r w:rsidRPr="00F047E9">
        <w:rPr>
          <w:b/>
          <w:bCs/>
        </w:rPr>
        <w:t>2024</w:t>
      </w:r>
    </w:p>
    <w:p w14:paraId="1199F312" w14:textId="77777777" w:rsidR="00F047E9" w:rsidRPr="00F047E9" w:rsidRDefault="00F047E9"/>
    <w:p w14:paraId="026EC8D7" w14:textId="00B29A1F" w:rsidR="00F047E9" w:rsidRPr="00F047E9" w:rsidRDefault="00A55E42">
      <w:r w:rsidRPr="00F047E9">
        <w:t>Formulerad med Naturvårdsverkets riktlinjer som utgångspunkt</w:t>
      </w:r>
      <w:r w:rsidR="00F047E9">
        <w:t>.</w:t>
      </w:r>
    </w:p>
    <w:p w14:paraId="09D0BBBB" w14:textId="0F9D5908" w:rsidR="00A55E42" w:rsidRPr="00F047E9" w:rsidRDefault="00F047E9">
      <w:r>
        <w:t xml:space="preserve">Se </w:t>
      </w:r>
      <w:r w:rsidRPr="00F047E9">
        <w:t>www.n</w:t>
      </w:r>
      <w:r w:rsidR="00A55E42" w:rsidRPr="00F047E9">
        <w:t>aturvardsve</w:t>
      </w:r>
      <w:r w:rsidRPr="00F047E9">
        <w:t xml:space="preserve">rket.se </w:t>
      </w:r>
    </w:p>
    <w:p w14:paraId="33810C71" w14:textId="709569A6" w:rsidR="00F047E9" w:rsidRPr="00F047E9" w:rsidRDefault="00F047E9">
      <w:r w:rsidRPr="00F047E9">
        <w:t>https://cdn.naturskyddsforeningen.se/uploads/2022/07/07142016/31925_c6cbdf0a060a206.pdf</w:t>
      </w:r>
    </w:p>
    <w:p w14:paraId="101F86D5" w14:textId="77777777" w:rsidR="00A55E42" w:rsidRPr="00F047E9" w:rsidRDefault="00A55E42"/>
    <w:p w14:paraId="0611965E" w14:textId="164BE52E" w:rsidR="00A55E42" w:rsidRPr="00F047E9" w:rsidRDefault="00F047E9">
      <w:pPr>
        <w:rPr>
          <w:rFonts w:cs="Roboto Slab"/>
          <w:color w:val="000000"/>
          <w:shd w:val="clear" w:color="auto" w:fill="FFFFFF"/>
        </w:rPr>
      </w:pPr>
      <w:r>
        <w:rPr>
          <w:rFonts w:cs="Roboto Slab"/>
          <w:color w:val="000000"/>
          <w:shd w:val="clear" w:color="auto" w:fill="FFFFFF"/>
        </w:rPr>
        <w:t xml:space="preserve">Återbruk, inköp, återvinning och återanvändning ingår i denna miljöpolicy. </w:t>
      </w:r>
      <w:r w:rsidR="00A704E4">
        <w:rPr>
          <w:rFonts w:cs="Roboto Slab"/>
          <w:color w:val="000000"/>
          <w:shd w:val="clear" w:color="auto" w:fill="FFFFFF"/>
        </w:rPr>
        <w:br/>
      </w:r>
      <w:r>
        <w:rPr>
          <w:rFonts w:cs="Roboto Slab"/>
          <w:color w:val="000000"/>
          <w:shd w:val="clear" w:color="auto" w:fill="FFFFFF"/>
        </w:rPr>
        <w:t>S</w:t>
      </w:r>
      <w:r w:rsidR="00A55E42" w:rsidRPr="00F047E9">
        <w:rPr>
          <w:rFonts w:cs="Roboto Slab"/>
          <w:color w:val="000000"/>
          <w:shd w:val="clear" w:color="auto" w:fill="FFFFFF"/>
        </w:rPr>
        <w:t>ocial och ekonomisk hållbarhet</w:t>
      </w:r>
      <w:r w:rsidRPr="00F047E9">
        <w:rPr>
          <w:rFonts w:cs="Roboto Slab"/>
          <w:color w:val="000000"/>
          <w:shd w:val="clear" w:color="auto" w:fill="FFFFFF"/>
        </w:rPr>
        <w:t xml:space="preserve"> ingår ej i denna sammanställning</w:t>
      </w:r>
      <w:r>
        <w:rPr>
          <w:rFonts w:cs="Roboto Slab"/>
          <w:color w:val="000000"/>
          <w:shd w:val="clear" w:color="auto" w:fill="FFFFFF"/>
        </w:rPr>
        <w:t>.</w:t>
      </w:r>
    </w:p>
    <w:p w14:paraId="3EB93199" w14:textId="77777777" w:rsidR="00A55E42" w:rsidRPr="00F047E9" w:rsidRDefault="00A55E42">
      <w:pPr>
        <w:rPr>
          <w:rFonts w:cs="Roboto Slab"/>
          <w:color w:val="000000"/>
          <w:sz w:val="30"/>
          <w:szCs w:val="30"/>
          <w:shd w:val="clear" w:color="auto" w:fill="FFFFFF"/>
        </w:rPr>
      </w:pPr>
    </w:p>
    <w:p w14:paraId="75B92AC9" w14:textId="77777777" w:rsidR="00A55E42" w:rsidRPr="00F047E9" w:rsidRDefault="00A55E42">
      <w:pPr>
        <w:rPr>
          <w:b/>
          <w:bCs/>
        </w:rPr>
      </w:pPr>
      <w:r w:rsidRPr="00F047E9">
        <w:rPr>
          <w:b/>
          <w:bCs/>
        </w:rPr>
        <w:t xml:space="preserve">Ansvar för tillämpningen </w:t>
      </w:r>
    </w:p>
    <w:p w14:paraId="4CBC761B" w14:textId="5F986DCD" w:rsidR="00A55E42" w:rsidRDefault="00A55E42">
      <w:r w:rsidRPr="00F047E9">
        <w:t>Policyn och dess olika anknutna dokument ska vara kända och förstådda, samt tillämpas i den dagliga verksamheten. Personal och ledning ges återkommande miljöutbildning efter behov i tjänsten. Anställda och förtroendevalda inspireras också att agera miljövänligt även utanför arbetstid.</w:t>
      </w:r>
    </w:p>
    <w:p w14:paraId="611FD1C5" w14:textId="7E409C6B" w:rsidR="00F047E9" w:rsidRPr="00F047E9" w:rsidRDefault="00F047E9">
      <w:pPr>
        <w:rPr>
          <w:b/>
          <w:bCs/>
        </w:rPr>
      </w:pPr>
      <w:r w:rsidRPr="00F047E9">
        <w:rPr>
          <w:b/>
          <w:bCs/>
        </w:rPr>
        <w:t xml:space="preserve">RSS åtgärd: </w:t>
      </w:r>
      <w:r w:rsidRPr="00F047E9">
        <w:t>Se handlingsplan nedan</w:t>
      </w:r>
    </w:p>
    <w:p w14:paraId="750ADAE8" w14:textId="77777777" w:rsidR="00A55E42" w:rsidRPr="00F047E9" w:rsidRDefault="00A55E42"/>
    <w:p w14:paraId="683BF7A5" w14:textId="77777777" w:rsidR="00A55E42" w:rsidRPr="00F047E9" w:rsidRDefault="00A55E42">
      <w:pPr>
        <w:rPr>
          <w:b/>
          <w:bCs/>
        </w:rPr>
      </w:pPr>
      <w:r w:rsidRPr="00F047E9">
        <w:rPr>
          <w:b/>
          <w:bCs/>
        </w:rPr>
        <w:t xml:space="preserve">Resor, möten och övernattningar </w:t>
      </w:r>
    </w:p>
    <w:p w14:paraId="20DDA6A9" w14:textId="7D84B84D" w:rsidR="00A55E42" w:rsidRPr="00F047E9" w:rsidRDefault="00A55E42">
      <w:r w:rsidRPr="00F047E9">
        <w:t xml:space="preserve">Organisationen ska minimera miljöpåverkan från resande, möten och övernattningar som sker i tjänsten. </w:t>
      </w:r>
    </w:p>
    <w:p w14:paraId="58ED7B6C" w14:textId="78A3DBEA" w:rsidR="00F047E9" w:rsidRPr="00F047E9" w:rsidRDefault="00F047E9" w:rsidP="00F047E9">
      <w:pPr>
        <w:rPr>
          <w:b/>
          <w:bCs/>
        </w:rPr>
      </w:pPr>
      <w:r w:rsidRPr="00F047E9">
        <w:rPr>
          <w:b/>
          <w:bCs/>
        </w:rPr>
        <w:t xml:space="preserve">RSS åtgärd: </w:t>
      </w:r>
      <w:r w:rsidRPr="00F047E9">
        <w:t xml:space="preserve">Resor för </w:t>
      </w:r>
      <w:r w:rsidR="00A704E4">
        <w:t>k</w:t>
      </w:r>
      <w:r>
        <w:t xml:space="preserve">lubbens räkning för </w:t>
      </w:r>
      <w:r w:rsidRPr="00F047E9">
        <w:t>närvarande ej aktuellt.</w:t>
      </w:r>
      <w:r>
        <w:rPr>
          <w:b/>
          <w:bCs/>
        </w:rPr>
        <w:t xml:space="preserve"> </w:t>
      </w:r>
    </w:p>
    <w:p w14:paraId="40BB66AD" w14:textId="77777777" w:rsidR="00A55E42" w:rsidRPr="00F047E9" w:rsidRDefault="00A55E42"/>
    <w:p w14:paraId="39967EE9" w14:textId="77777777" w:rsidR="00A55E42" w:rsidRPr="00F047E9" w:rsidRDefault="00A55E42">
      <w:pPr>
        <w:rPr>
          <w:b/>
          <w:bCs/>
        </w:rPr>
      </w:pPr>
      <w:r w:rsidRPr="00F047E9">
        <w:rPr>
          <w:b/>
          <w:bCs/>
        </w:rPr>
        <w:t xml:space="preserve">Upphandling och inköp av varor och tjänster </w:t>
      </w:r>
    </w:p>
    <w:p w14:paraId="009C5AEA" w14:textId="12895535" w:rsidR="00A55E42" w:rsidRPr="00F047E9" w:rsidRDefault="00A55E42">
      <w:r w:rsidRPr="00F047E9">
        <w:t>Miljöpåverkan ska vara avgörande för inköpsarbetet med hänsyn till kvalitet och funktion. Organisationen ska ligga i framkant och visa andra att ett miljöinriktat inköpsbeteende av varor och tjänster främjar ett hållbart samhälle och är ett steg på vägen mot ett mer hållbart samhälle. Se vidare: ”Återbruks- och inköpspolicy”, ”Vägledning vid återbruk och inköp av varor” samt ”Märkesguide.”</w:t>
      </w:r>
    </w:p>
    <w:p w14:paraId="29A4C004" w14:textId="27E75F48" w:rsidR="00F047E9" w:rsidRPr="00F047E9" w:rsidRDefault="00F047E9" w:rsidP="00F047E9">
      <w:pPr>
        <w:rPr>
          <w:b/>
          <w:bCs/>
        </w:rPr>
      </w:pPr>
      <w:r w:rsidRPr="00F047E9">
        <w:rPr>
          <w:b/>
          <w:bCs/>
        </w:rPr>
        <w:t xml:space="preserve">RSS åtgärd: </w:t>
      </w:r>
      <w:r w:rsidR="00103259" w:rsidRPr="00103259">
        <w:t>Respektive sektionsansvarig</w:t>
      </w:r>
    </w:p>
    <w:p w14:paraId="664BA532" w14:textId="77777777" w:rsidR="00A55E42" w:rsidRPr="00F047E9" w:rsidRDefault="00A55E42"/>
    <w:p w14:paraId="68AEDE1A" w14:textId="77777777" w:rsidR="00A55E42" w:rsidRPr="00F047E9" w:rsidRDefault="00A55E42">
      <w:pPr>
        <w:rPr>
          <w:b/>
          <w:bCs/>
        </w:rPr>
      </w:pPr>
      <w:r w:rsidRPr="00F047E9">
        <w:rPr>
          <w:b/>
          <w:bCs/>
        </w:rPr>
        <w:t xml:space="preserve">Återanvändning och återvinning </w:t>
      </w:r>
    </w:p>
    <w:p w14:paraId="40230A15" w14:textId="6BBDBAA9" w:rsidR="00A55E42" w:rsidRPr="00F047E9" w:rsidRDefault="00A55E42">
      <w:r w:rsidRPr="00F047E9">
        <w:t>Organisationen ska minimera resursanvändningen genom att i första hand återanvända, i andra hand återvinna materialet och i tredje hand välja energiåtervinning. Se vidare ”Riktlinjer för återanvändning och återvinning.”</w:t>
      </w:r>
    </w:p>
    <w:p w14:paraId="0263F335" w14:textId="2C4547C3" w:rsidR="00F047E9" w:rsidRPr="00F047E9" w:rsidRDefault="00F047E9" w:rsidP="00F047E9">
      <w:pPr>
        <w:rPr>
          <w:b/>
          <w:bCs/>
        </w:rPr>
      </w:pPr>
      <w:r w:rsidRPr="00F047E9">
        <w:rPr>
          <w:b/>
          <w:bCs/>
        </w:rPr>
        <w:t xml:space="preserve">RSS åtgärd: </w:t>
      </w:r>
      <w:r w:rsidRPr="00F047E9">
        <w:t>Se handlingsplan nedan</w:t>
      </w:r>
      <w:r w:rsidRPr="00F047E9">
        <w:rPr>
          <w:b/>
          <w:bCs/>
        </w:rPr>
        <w:t xml:space="preserve"> </w:t>
      </w:r>
    </w:p>
    <w:p w14:paraId="1891D920" w14:textId="77777777" w:rsidR="00A55E42" w:rsidRPr="00F047E9" w:rsidRDefault="00A55E42"/>
    <w:p w14:paraId="2A49C956" w14:textId="77777777" w:rsidR="00A55E42" w:rsidRPr="00F047E9" w:rsidRDefault="00A55E42">
      <w:pPr>
        <w:rPr>
          <w:b/>
          <w:bCs/>
        </w:rPr>
      </w:pPr>
      <w:r w:rsidRPr="00F047E9">
        <w:rPr>
          <w:b/>
          <w:bCs/>
        </w:rPr>
        <w:t xml:space="preserve">Uppföljning av policyn </w:t>
      </w:r>
    </w:p>
    <w:p w14:paraId="67E17C69" w14:textId="3B5440E1" w:rsidR="00A55E42" w:rsidRDefault="00A55E42">
      <w:r w:rsidRPr="00F047E9">
        <w:t>Organisationen arbetar kontinuerligt med att förbättra sitt interna miljöarbete och genomlyser och utvärderar fastlagda policydokument regelbundet. För att följa upp och utveckla arbetet sätter vi också mål och nyckeltal, som följs upp årsvis och rapporteras till styrelsen.</w:t>
      </w:r>
    </w:p>
    <w:p w14:paraId="4F8DDDF1" w14:textId="77777777" w:rsidR="00F047E9" w:rsidRPr="00F047E9" w:rsidRDefault="00F047E9" w:rsidP="00F047E9">
      <w:pPr>
        <w:rPr>
          <w:b/>
          <w:bCs/>
        </w:rPr>
      </w:pPr>
      <w:r w:rsidRPr="00F047E9">
        <w:rPr>
          <w:b/>
          <w:bCs/>
        </w:rPr>
        <w:t xml:space="preserve">RSS åtgärd: </w:t>
      </w:r>
      <w:r w:rsidRPr="00F047E9">
        <w:t>Se handlingsplan nedan</w:t>
      </w:r>
    </w:p>
    <w:p w14:paraId="5CD3F491" w14:textId="77777777" w:rsidR="00251A1D" w:rsidRDefault="00251A1D" w:rsidP="00F047E9">
      <w:pPr>
        <w:rPr>
          <w:b/>
          <w:bCs/>
        </w:rPr>
      </w:pPr>
    </w:p>
    <w:p w14:paraId="03452579" w14:textId="77777777" w:rsidR="00251A1D" w:rsidRDefault="00251A1D" w:rsidP="00F047E9">
      <w:pPr>
        <w:rPr>
          <w:b/>
          <w:bCs/>
        </w:rPr>
      </w:pPr>
    </w:p>
    <w:p w14:paraId="40E8E93E" w14:textId="77777777" w:rsidR="00251A1D" w:rsidRDefault="00251A1D" w:rsidP="00F047E9">
      <w:pPr>
        <w:rPr>
          <w:b/>
          <w:bCs/>
        </w:rPr>
      </w:pPr>
    </w:p>
    <w:p w14:paraId="7B1A40B5" w14:textId="77777777" w:rsidR="00251A1D" w:rsidRDefault="00251A1D" w:rsidP="00F047E9">
      <w:pPr>
        <w:rPr>
          <w:b/>
          <w:bCs/>
        </w:rPr>
      </w:pPr>
    </w:p>
    <w:p w14:paraId="350D3942" w14:textId="77777777" w:rsidR="00251A1D" w:rsidRDefault="00251A1D" w:rsidP="00F047E9">
      <w:pPr>
        <w:rPr>
          <w:b/>
          <w:bCs/>
        </w:rPr>
      </w:pPr>
    </w:p>
    <w:p w14:paraId="3FBD9E18" w14:textId="77777777" w:rsidR="00251A1D" w:rsidRDefault="00251A1D" w:rsidP="00F047E9">
      <w:pPr>
        <w:rPr>
          <w:b/>
          <w:bCs/>
        </w:rPr>
      </w:pPr>
    </w:p>
    <w:p w14:paraId="4E1E45A5" w14:textId="77777777" w:rsidR="00251A1D" w:rsidRDefault="00251A1D" w:rsidP="00F047E9">
      <w:pPr>
        <w:rPr>
          <w:b/>
          <w:bCs/>
        </w:rPr>
      </w:pPr>
    </w:p>
    <w:p w14:paraId="35ABBA94" w14:textId="77777777" w:rsidR="00251A1D" w:rsidRDefault="00251A1D" w:rsidP="00F047E9">
      <w:pPr>
        <w:rPr>
          <w:b/>
          <w:bCs/>
        </w:rPr>
      </w:pPr>
    </w:p>
    <w:p w14:paraId="5B56A942" w14:textId="77777777" w:rsidR="00251A1D" w:rsidRDefault="00251A1D" w:rsidP="00F047E9">
      <w:pPr>
        <w:rPr>
          <w:b/>
          <w:bCs/>
        </w:rPr>
      </w:pPr>
    </w:p>
    <w:p w14:paraId="1A8346A7" w14:textId="77777777" w:rsidR="00251A1D" w:rsidRDefault="00251A1D" w:rsidP="00F047E9">
      <w:pPr>
        <w:rPr>
          <w:b/>
          <w:bCs/>
        </w:rPr>
      </w:pPr>
    </w:p>
    <w:p w14:paraId="394AC171" w14:textId="3E9237C2" w:rsidR="00A704E4" w:rsidRDefault="00F047E9" w:rsidP="00F047E9">
      <w:pPr>
        <w:rPr>
          <w:b/>
          <w:bCs/>
        </w:rPr>
      </w:pPr>
      <w:r>
        <w:rPr>
          <w:b/>
          <w:bCs/>
        </w:rPr>
        <w:lastRenderedPageBreak/>
        <w:t xml:space="preserve">Handlingsplaner </w:t>
      </w:r>
      <w:r w:rsidR="005C1A50">
        <w:rPr>
          <w:b/>
          <w:bCs/>
        </w:rPr>
        <w:t xml:space="preserve">miljöpolicy </w:t>
      </w:r>
      <w:r>
        <w:rPr>
          <w:b/>
          <w:bCs/>
        </w:rPr>
        <w:t>2024</w:t>
      </w:r>
      <w:r w:rsidR="00103259">
        <w:rPr>
          <w:b/>
          <w:bCs/>
        </w:rPr>
        <w:t>/2025</w:t>
      </w:r>
    </w:p>
    <w:p w14:paraId="6A876DFE" w14:textId="77777777" w:rsidR="00A704E4" w:rsidRDefault="00A704E4" w:rsidP="00F047E9">
      <w:pPr>
        <w:rPr>
          <w:b/>
          <w:bCs/>
        </w:rPr>
      </w:pPr>
    </w:p>
    <w:tbl>
      <w:tblPr>
        <w:tblStyle w:val="Tabellrutnt"/>
        <w:tblW w:w="9324" w:type="dxa"/>
        <w:tblLook w:val="04A0" w:firstRow="1" w:lastRow="0" w:firstColumn="1" w:lastColumn="0" w:noHBand="0" w:noVBand="1"/>
      </w:tblPr>
      <w:tblGrid>
        <w:gridCol w:w="3282"/>
        <w:gridCol w:w="3021"/>
        <w:gridCol w:w="3021"/>
      </w:tblGrid>
      <w:tr w:rsidR="00F047E9" w14:paraId="70E048C6" w14:textId="77777777" w:rsidTr="00F047E9">
        <w:tc>
          <w:tcPr>
            <w:tcW w:w="3282" w:type="dxa"/>
          </w:tcPr>
          <w:p w14:paraId="4D0BAFD1" w14:textId="5DAE655E" w:rsidR="00F047E9" w:rsidRDefault="00A704E4" w:rsidP="00F047E9">
            <w:pPr>
              <w:rPr>
                <w:b/>
                <w:bCs/>
              </w:rPr>
            </w:pPr>
            <w:r>
              <w:rPr>
                <w:b/>
                <w:bCs/>
              </w:rPr>
              <w:t>Miljöpolicy</w:t>
            </w:r>
          </w:p>
        </w:tc>
        <w:tc>
          <w:tcPr>
            <w:tcW w:w="3021" w:type="dxa"/>
          </w:tcPr>
          <w:p w14:paraId="5464BAA5" w14:textId="72CB0190" w:rsidR="00F047E9" w:rsidRDefault="0094077A" w:rsidP="00F047E9">
            <w:pPr>
              <w:rPr>
                <w:b/>
                <w:bCs/>
              </w:rPr>
            </w:pPr>
            <w:r w:rsidRPr="00F047E9">
              <w:rPr>
                <w:b/>
                <w:bCs/>
              </w:rPr>
              <w:t>Ansvar för tillämpningen</w:t>
            </w:r>
          </w:p>
        </w:tc>
        <w:tc>
          <w:tcPr>
            <w:tcW w:w="3021" w:type="dxa"/>
          </w:tcPr>
          <w:p w14:paraId="37591DFD" w14:textId="4139748B" w:rsidR="00F047E9" w:rsidRDefault="0094077A" w:rsidP="00F047E9">
            <w:pPr>
              <w:rPr>
                <w:b/>
                <w:bCs/>
              </w:rPr>
            </w:pPr>
            <w:r>
              <w:rPr>
                <w:b/>
                <w:bCs/>
              </w:rPr>
              <w:t>Mål/datum</w:t>
            </w:r>
          </w:p>
        </w:tc>
      </w:tr>
      <w:tr w:rsidR="00F047E9" w14:paraId="0D4E0AC9" w14:textId="77777777" w:rsidTr="00F047E9">
        <w:tc>
          <w:tcPr>
            <w:tcW w:w="3282" w:type="dxa"/>
          </w:tcPr>
          <w:p w14:paraId="6754DA46" w14:textId="430C8EE4" w:rsidR="00F047E9" w:rsidRPr="0094077A" w:rsidRDefault="0094077A" w:rsidP="00F047E9">
            <w:r w:rsidRPr="0094077A">
              <w:t>Publicering av miljöplicy på hemsidan</w:t>
            </w:r>
          </w:p>
        </w:tc>
        <w:tc>
          <w:tcPr>
            <w:tcW w:w="3021" w:type="dxa"/>
          </w:tcPr>
          <w:p w14:paraId="3D46A37E" w14:textId="1AB7D5D7" w:rsidR="00F047E9" w:rsidRPr="00A63841" w:rsidRDefault="00A63841" w:rsidP="00F047E9">
            <w:r w:rsidRPr="00A63841">
              <w:t>Maria</w:t>
            </w:r>
            <w:r>
              <w:t xml:space="preserve"> Brixemo</w:t>
            </w:r>
          </w:p>
        </w:tc>
        <w:tc>
          <w:tcPr>
            <w:tcW w:w="3021" w:type="dxa"/>
          </w:tcPr>
          <w:p w14:paraId="59FB0079" w14:textId="7BBA05F2" w:rsidR="00F047E9" w:rsidRDefault="00A704E4" w:rsidP="00F047E9">
            <w:pPr>
              <w:rPr>
                <w:b/>
                <w:bCs/>
              </w:rPr>
            </w:pPr>
            <w:r>
              <w:t>Färdigt till säsongen 2024</w:t>
            </w:r>
            <w:r w:rsidR="00103259">
              <w:br/>
            </w:r>
          </w:p>
        </w:tc>
      </w:tr>
      <w:tr w:rsidR="00F047E9" w14:paraId="0A76360C" w14:textId="77777777" w:rsidTr="00F047E9">
        <w:tc>
          <w:tcPr>
            <w:tcW w:w="3282" w:type="dxa"/>
          </w:tcPr>
          <w:p w14:paraId="060078EB" w14:textId="3A68958A" w:rsidR="00F047E9" w:rsidRPr="0094077A" w:rsidRDefault="0094077A" w:rsidP="00F047E9">
            <w:r w:rsidRPr="0094077A">
              <w:t>Information till medlemmar</w:t>
            </w:r>
            <w:r>
              <w:t xml:space="preserve"> i form av mail</w:t>
            </w:r>
          </w:p>
        </w:tc>
        <w:tc>
          <w:tcPr>
            <w:tcW w:w="3021" w:type="dxa"/>
          </w:tcPr>
          <w:p w14:paraId="5B2B962D" w14:textId="0CF7424D" w:rsidR="00F047E9" w:rsidRDefault="00A63841" w:rsidP="00F047E9">
            <w:pPr>
              <w:rPr>
                <w:b/>
                <w:bCs/>
              </w:rPr>
            </w:pPr>
            <w:r w:rsidRPr="00A63841">
              <w:t>Maria</w:t>
            </w:r>
            <w:r>
              <w:t xml:space="preserve"> Brixemo</w:t>
            </w:r>
          </w:p>
        </w:tc>
        <w:tc>
          <w:tcPr>
            <w:tcW w:w="3021" w:type="dxa"/>
          </w:tcPr>
          <w:p w14:paraId="322D2F24" w14:textId="2A830B61" w:rsidR="00F047E9" w:rsidRDefault="00A704E4" w:rsidP="00F047E9">
            <w:pPr>
              <w:rPr>
                <w:b/>
                <w:bCs/>
              </w:rPr>
            </w:pPr>
            <w:r>
              <w:t>Färdigt till säsongen 2024</w:t>
            </w:r>
            <w:r w:rsidR="00103259">
              <w:br/>
            </w:r>
          </w:p>
        </w:tc>
      </w:tr>
      <w:tr w:rsidR="00F047E9" w14:paraId="5F0CA728" w14:textId="77777777" w:rsidTr="00F047E9">
        <w:tc>
          <w:tcPr>
            <w:tcW w:w="3282" w:type="dxa"/>
          </w:tcPr>
          <w:p w14:paraId="331AAB4D" w14:textId="77777777" w:rsidR="00F047E9" w:rsidRDefault="0094077A" w:rsidP="00F047E9">
            <w:r w:rsidRPr="0094077A">
              <w:t>Information till ungdomar och vuxna i kursverksamhet</w:t>
            </w:r>
            <w:r w:rsidR="00A704E4">
              <w:t>.</w:t>
            </w:r>
          </w:p>
          <w:p w14:paraId="74042626" w14:textId="7E50E616" w:rsidR="00A704E4" w:rsidRPr="0094077A" w:rsidRDefault="00A704E4" w:rsidP="00F047E9">
            <w:r>
              <w:t>* Mail till de vuxna.</w:t>
            </w:r>
            <w:r>
              <w:br/>
              <w:t>* ”Välkommen till kurs på RSS”-brev i handen till ungdomarna.</w:t>
            </w:r>
          </w:p>
        </w:tc>
        <w:tc>
          <w:tcPr>
            <w:tcW w:w="3021" w:type="dxa"/>
          </w:tcPr>
          <w:p w14:paraId="5E387E0F" w14:textId="68AFC685" w:rsidR="00A63841" w:rsidRPr="00A63841" w:rsidRDefault="00A63841" w:rsidP="00F047E9">
            <w:r>
              <w:t>Jakob Falkerby</w:t>
            </w:r>
          </w:p>
        </w:tc>
        <w:tc>
          <w:tcPr>
            <w:tcW w:w="3021" w:type="dxa"/>
          </w:tcPr>
          <w:p w14:paraId="5FDE4293" w14:textId="77777777" w:rsidR="00F047E9" w:rsidRDefault="00A704E4" w:rsidP="00F047E9">
            <w:r>
              <w:t>Färdigt till säsongen 2024</w:t>
            </w:r>
          </w:p>
          <w:p w14:paraId="3848E1D6" w14:textId="01CD2EA4" w:rsidR="00103259" w:rsidRDefault="00103259" w:rsidP="00F047E9">
            <w:pPr>
              <w:rPr>
                <w:b/>
                <w:bCs/>
              </w:rPr>
            </w:pPr>
            <w:r>
              <w:t>Klart!</w:t>
            </w:r>
          </w:p>
        </w:tc>
      </w:tr>
      <w:tr w:rsidR="005C1A50" w14:paraId="4F6E2A42" w14:textId="77777777" w:rsidTr="00F047E9">
        <w:tc>
          <w:tcPr>
            <w:tcW w:w="3282" w:type="dxa"/>
          </w:tcPr>
          <w:p w14:paraId="21603681" w14:textId="77777777" w:rsidR="005C1A50" w:rsidRPr="0094077A" w:rsidRDefault="005C1A50" w:rsidP="00F047E9"/>
        </w:tc>
        <w:tc>
          <w:tcPr>
            <w:tcW w:w="3021" w:type="dxa"/>
          </w:tcPr>
          <w:p w14:paraId="0317BC39" w14:textId="77777777" w:rsidR="005C1A50" w:rsidRDefault="005C1A50" w:rsidP="00F047E9">
            <w:pPr>
              <w:rPr>
                <w:b/>
                <w:bCs/>
              </w:rPr>
            </w:pPr>
          </w:p>
        </w:tc>
        <w:tc>
          <w:tcPr>
            <w:tcW w:w="3021" w:type="dxa"/>
          </w:tcPr>
          <w:p w14:paraId="409C8384" w14:textId="77777777" w:rsidR="005C1A50" w:rsidRDefault="005C1A50" w:rsidP="00F047E9">
            <w:pPr>
              <w:rPr>
                <w:b/>
                <w:bCs/>
              </w:rPr>
            </w:pPr>
          </w:p>
        </w:tc>
      </w:tr>
    </w:tbl>
    <w:p w14:paraId="00D78180" w14:textId="77777777" w:rsidR="00A55E42" w:rsidRDefault="00A55E42"/>
    <w:p w14:paraId="07F2F391" w14:textId="77777777" w:rsidR="00F047E9" w:rsidRDefault="00F047E9"/>
    <w:tbl>
      <w:tblPr>
        <w:tblStyle w:val="Tabellrutnt"/>
        <w:tblW w:w="9324" w:type="dxa"/>
        <w:tblLook w:val="04A0" w:firstRow="1" w:lastRow="0" w:firstColumn="1" w:lastColumn="0" w:noHBand="0" w:noVBand="1"/>
      </w:tblPr>
      <w:tblGrid>
        <w:gridCol w:w="3282"/>
        <w:gridCol w:w="3021"/>
        <w:gridCol w:w="3021"/>
      </w:tblGrid>
      <w:tr w:rsidR="00F047E9" w14:paraId="727F381D" w14:textId="77777777" w:rsidTr="003C6453">
        <w:tc>
          <w:tcPr>
            <w:tcW w:w="3282" w:type="dxa"/>
          </w:tcPr>
          <w:p w14:paraId="4BC5604E" w14:textId="687A53EA" w:rsidR="00F047E9" w:rsidRDefault="00F047E9" w:rsidP="003C6453">
            <w:pPr>
              <w:rPr>
                <w:b/>
                <w:bCs/>
              </w:rPr>
            </w:pPr>
            <w:r>
              <w:rPr>
                <w:b/>
                <w:bCs/>
              </w:rPr>
              <w:t>Upphandling/inköp</w:t>
            </w:r>
            <w:r w:rsidRPr="00F047E9">
              <w:rPr>
                <w:b/>
                <w:bCs/>
              </w:rPr>
              <w:t xml:space="preserve"> </w:t>
            </w:r>
          </w:p>
        </w:tc>
        <w:tc>
          <w:tcPr>
            <w:tcW w:w="3021" w:type="dxa"/>
          </w:tcPr>
          <w:p w14:paraId="6E0C7483" w14:textId="23505291" w:rsidR="00F047E9" w:rsidRDefault="005C1A50" w:rsidP="003C6453">
            <w:pPr>
              <w:rPr>
                <w:b/>
                <w:bCs/>
              </w:rPr>
            </w:pPr>
            <w:r w:rsidRPr="00F047E9">
              <w:rPr>
                <w:b/>
                <w:bCs/>
              </w:rPr>
              <w:t>Ansvar för tillämpningen</w:t>
            </w:r>
          </w:p>
        </w:tc>
        <w:tc>
          <w:tcPr>
            <w:tcW w:w="3021" w:type="dxa"/>
          </w:tcPr>
          <w:p w14:paraId="6EDEC02C" w14:textId="6C1CA630" w:rsidR="00F047E9" w:rsidRDefault="00251A1D" w:rsidP="003C6453">
            <w:pPr>
              <w:rPr>
                <w:b/>
                <w:bCs/>
              </w:rPr>
            </w:pPr>
            <w:r>
              <w:rPr>
                <w:b/>
                <w:bCs/>
              </w:rPr>
              <w:t>Mål/datum</w:t>
            </w:r>
          </w:p>
        </w:tc>
      </w:tr>
      <w:tr w:rsidR="00F047E9" w14:paraId="5171460C" w14:textId="77777777" w:rsidTr="003C6453">
        <w:tc>
          <w:tcPr>
            <w:tcW w:w="3282" w:type="dxa"/>
          </w:tcPr>
          <w:p w14:paraId="1598B28A" w14:textId="33B8BA82" w:rsidR="00F047E9" w:rsidRPr="005C1A50" w:rsidRDefault="005C1A50" w:rsidP="003C6453">
            <w:r w:rsidRPr="005C1A50">
              <w:t>Solceller</w:t>
            </w:r>
          </w:p>
        </w:tc>
        <w:tc>
          <w:tcPr>
            <w:tcW w:w="3021" w:type="dxa"/>
          </w:tcPr>
          <w:p w14:paraId="1E06114E" w14:textId="537DFD62" w:rsidR="00F047E9" w:rsidRPr="00103259" w:rsidRDefault="00103259" w:rsidP="003C6453">
            <w:r w:rsidRPr="00103259">
              <w:t>Styrelsen</w:t>
            </w:r>
          </w:p>
        </w:tc>
        <w:tc>
          <w:tcPr>
            <w:tcW w:w="3021" w:type="dxa"/>
          </w:tcPr>
          <w:p w14:paraId="69D2A783" w14:textId="78260117" w:rsidR="00F047E9" w:rsidRPr="00A63841" w:rsidRDefault="00A63841" w:rsidP="003C6453">
            <w:r w:rsidRPr="00A63841">
              <w:t>Klart, sommaren 2024</w:t>
            </w:r>
          </w:p>
        </w:tc>
      </w:tr>
      <w:tr w:rsidR="00F047E9" w14:paraId="660E01C1" w14:textId="77777777" w:rsidTr="003C6453">
        <w:tc>
          <w:tcPr>
            <w:tcW w:w="3282" w:type="dxa"/>
          </w:tcPr>
          <w:p w14:paraId="01992510" w14:textId="59A4F81A" w:rsidR="00F047E9" w:rsidRPr="005C1A50" w:rsidRDefault="005C1A50" w:rsidP="003C6453">
            <w:r w:rsidRPr="005C1A50">
              <w:t>Ledlampor</w:t>
            </w:r>
          </w:p>
        </w:tc>
        <w:tc>
          <w:tcPr>
            <w:tcW w:w="3021" w:type="dxa"/>
          </w:tcPr>
          <w:p w14:paraId="6B2F7D19" w14:textId="642C55DC" w:rsidR="00F047E9" w:rsidRPr="001D3CAB" w:rsidRDefault="001D3CAB" w:rsidP="003C6453">
            <w:r w:rsidRPr="001D3CAB">
              <w:t>Lena</w:t>
            </w:r>
            <w:r w:rsidR="00A63841">
              <w:t xml:space="preserve"> Wallmark</w:t>
            </w:r>
          </w:p>
        </w:tc>
        <w:tc>
          <w:tcPr>
            <w:tcW w:w="3021" w:type="dxa"/>
          </w:tcPr>
          <w:p w14:paraId="17DF2152" w14:textId="66DDC4D1" w:rsidR="00F047E9" w:rsidRPr="00A63841" w:rsidRDefault="00A63841" w:rsidP="003C6453">
            <w:r w:rsidRPr="00A63841">
              <w:t>Våren 2025</w:t>
            </w:r>
          </w:p>
        </w:tc>
      </w:tr>
      <w:tr w:rsidR="00F047E9" w14:paraId="72C31D1C" w14:textId="77777777" w:rsidTr="003C6453">
        <w:tc>
          <w:tcPr>
            <w:tcW w:w="3282" w:type="dxa"/>
          </w:tcPr>
          <w:p w14:paraId="42664771" w14:textId="204F6B91" w:rsidR="00F047E9" w:rsidRPr="00A704E4" w:rsidRDefault="005C1A50" w:rsidP="003C6453">
            <w:r w:rsidRPr="00A704E4">
              <w:t>Temparurkontroll klubbhus</w:t>
            </w:r>
          </w:p>
        </w:tc>
        <w:tc>
          <w:tcPr>
            <w:tcW w:w="3021" w:type="dxa"/>
          </w:tcPr>
          <w:p w14:paraId="68CF9D54" w14:textId="50514CBA" w:rsidR="00F047E9" w:rsidRPr="00A704E4" w:rsidRDefault="00A704E4" w:rsidP="003C6453">
            <w:r w:rsidRPr="00A704E4">
              <w:t>Lena</w:t>
            </w:r>
            <w:r w:rsidR="00A63841">
              <w:t xml:space="preserve"> Wallmark</w:t>
            </w:r>
          </w:p>
        </w:tc>
        <w:tc>
          <w:tcPr>
            <w:tcW w:w="3021" w:type="dxa"/>
          </w:tcPr>
          <w:p w14:paraId="7FD39334" w14:textId="28BA33B6" w:rsidR="00F047E9" w:rsidRPr="00A63841" w:rsidRDefault="00A63841" w:rsidP="003C6453">
            <w:r w:rsidRPr="00A63841">
              <w:t>Kontinuerligt</w:t>
            </w:r>
          </w:p>
        </w:tc>
      </w:tr>
      <w:tr w:rsidR="005C1A50" w14:paraId="7E2A372A" w14:textId="77777777" w:rsidTr="003C6453">
        <w:tc>
          <w:tcPr>
            <w:tcW w:w="3282" w:type="dxa"/>
          </w:tcPr>
          <w:p w14:paraId="71DD528F" w14:textId="77777777" w:rsidR="005C1A50" w:rsidRPr="005C1A50" w:rsidRDefault="005C1A50" w:rsidP="003C6453"/>
        </w:tc>
        <w:tc>
          <w:tcPr>
            <w:tcW w:w="3021" w:type="dxa"/>
          </w:tcPr>
          <w:p w14:paraId="52B521AC" w14:textId="77777777" w:rsidR="005C1A50" w:rsidRDefault="005C1A50" w:rsidP="003C6453">
            <w:pPr>
              <w:rPr>
                <w:b/>
                <w:bCs/>
              </w:rPr>
            </w:pPr>
          </w:p>
        </w:tc>
        <w:tc>
          <w:tcPr>
            <w:tcW w:w="3021" w:type="dxa"/>
          </w:tcPr>
          <w:p w14:paraId="09D9A8B7" w14:textId="77777777" w:rsidR="005C1A50" w:rsidRDefault="005C1A50" w:rsidP="003C6453">
            <w:pPr>
              <w:rPr>
                <w:b/>
                <w:bCs/>
              </w:rPr>
            </w:pPr>
          </w:p>
        </w:tc>
      </w:tr>
    </w:tbl>
    <w:p w14:paraId="47F9A847" w14:textId="77777777" w:rsidR="00F047E9" w:rsidRDefault="00F047E9"/>
    <w:p w14:paraId="1B7F0712" w14:textId="77777777" w:rsidR="00F047E9" w:rsidRDefault="00F047E9"/>
    <w:tbl>
      <w:tblPr>
        <w:tblStyle w:val="Tabellrutnt"/>
        <w:tblW w:w="9324" w:type="dxa"/>
        <w:tblLook w:val="04A0" w:firstRow="1" w:lastRow="0" w:firstColumn="1" w:lastColumn="0" w:noHBand="0" w:noVBand="1"/>
      </w:tblPr>
      <w:tblGrid>
        <w:gridCol w:w="3282"/>
        <w:gridCol w:w="3021"/>
        <w:gridCol w:w="3021"/>
      </w:tblGrid>
      <w:tr w:rsidR="00F047E9" w14:paraId="7CDB476F" w14:textId="77777777" w:rsidTr="003C6453">
        <w:tc>
          <w:tcPr>
            <w:tcW w:w="3282" w:type="dxa"/>
          </w:tcPr>
          <w:p w14:paraId="0EBE920B" w14:textId="0286406A" w:rsidR="00F047E9" w:rsidRDefault="00F047E9" w:rsidP="003C6453">
            <w:pPr>
              <w:rPr>
                <w:b/>
                <w:bCs/>
              </w:rPr>
            </w:pPr>
            <w:r>
              <w:rPr>
                <w:b/>
                <w:bCs/>
              </w:rPr>
              <w:t>Återanvändning</w:t>
            </w:r>
          </w:p>
        </w:tc>
        <w:tc>
          <w:tcPr>
            <w:tcW w:w="3021" w:type="dxa"/>
          </w:tcPr>
          <w:p w14:paraId="3FF57B13" w14:textId="5B7C4689" w:rsidR="00F047E9" w:rsidRDefault="005C1A50" w:rsidP="003C6453">
            <w:pPr>
              <w:rPr>
                <w:b/>
                <w:bCs/>
              </w:rPr>
            </w:pPr>
            <w:r w:rsidRPr="00F047E9">
              <w:rPr>
                <w:b/>
                <w:bCs/>
              </w:rPr>
              <w:t>Ansvar för tillämpningen</w:t>
            </w:r>
          </w:p>
        </w:tc>
        <w:tc>
          <w:tcPr>
            <w:tcW w:w="3021" w:type="dxa"/>
          </w:tcPr>
          <w:p w14:paraId="477F61E4" w14:textId="22205F46" w:rsidR="00F047E9" w:rsidRDefault="00251A1D" w:rsidP="003C6453">
            <w:pPr>
              <w:rPr>
                <w:b/>
                <w:bCs/>
              </w:rPr>
            </w:pPr>
            <w:r>
              <w:rPr>
                <w:b/>
                <w:bCs/>
              </w:rPr>
              <w:t>Mål/datum</w:t>
            </w:r>
          </w:p>
        </w:tc>
      </w:tr>
      <w:tr w:rsidR="00F047E9" w:rsidRPr="005C1A50" w14:paraId="4648009C" w14:textId="77777777" w:rsidTr="003C6453">
        <w:tc>
          <w:tcPr>
            <w:tcW w:w="3282" w:type="dxa"/>
          </w:tcPr>
          <w:p w14:paraId="035064D7" w14:textId="46EB6F5A" w:rsidR="00F047E9" w:rsidRPr="005C1A50" w:rsidRDefault="005C1A50" w:rsidP="003C6453">
            <w:r w:rsidRPr="005C1A50">
              <w:t>Inventering av material</w:t>
            </w:r>
          </w:p>
        </w:tc>
        <w:tc>
          <w:tcPr>
            <w:tcW w:w="3021" w:type="dxa"/>
          </w:tcPr>
          <w:p w14:paraId="3E3934CB" w14:textId="1B68CF3F" w:rsidR="00F047E9" w:rsidRPr="005C1A50" w:rsidRDefault="00103259" w:rsidP="003C6453">
            <w:r>
              <w:t>Lena Wallmark</w:t>
            </w:r>
          </w:p>
        </w:tc>
        <w:tc>
          <w:tcPr>
            <w:tcW w:w="3021" w:type="dxa"/>
          </w:tcPr>
          <w:p w14:paraId="33AB1B6D" w14:textId="7AFD8DD7" w:rsidR="00F047E9" w:rsidRPr="005C1A50" w:rsidRDefault="00103259" w:rsidP="003C6453">
            <w:r>
              <w:t>Kontinuerligt 24/25</w:t>
            </w:r>
          </w:p>
        </w:tc>
      </w:tr>
      <w:tr w:rsidR="00F047E9" w:rsidRPr="005C1A50" w14:paraId="3EB27DD6" w14:textId="77777777" w:rsidTr="003C6453">
        <w:tc>
          <w:tcPr>
            <w:tcW w:w="3282" w:type="dxa"/>
          </w:tcPr>
          <w:p w14:paraId="534C3C9C" w14:textId="4B55E2A2" w:rsidR="00F047E9" w:rsidRPr="005C1A50" w:rsidRDefault="005C1A50" w:rsidP="003C6453">
            <w:r w:rsidRPr="005C1A50">
              <w:t>Återanvändning av virke</w:t>
            </w:r>
          </w:p>
        </w:tc>
        <w:tc>
          <w:tcPr>
            <w:tcW w:w="3021" w:type="dxa"/>
          </w:tcPr>
          <w:p w14:paraId="2EBE01A4" w14:textId="185A83B7" w:rsidR="00F047E9" w:rsidRPr="005C1A50" w:rsidRDefault="00103259" w:rsidP="003C6453">
            <w:r>
              <w:t>Lena Wallmark</w:t>
            </w:r>
          </w:p>
        </w:tc>
        <w:tc>
          <w:tcPr>
            <w:tcW w:w="3021" w:type="dxa"/>
          </w:tcPr>
          <w:p w14:paraId="4A51C9AB" w14:textId="3710076A" w:rsidR="00F047E9" w:rsidRPr="005C1A50" w:rsidRDefault="00103259" w:rsidP="003C6453">
            <w:r>
              <w:t>Kontinuerligt 24/25</w:t>
            </w:r>
          </w:p>
        </w:tc>
      </w:tr>
      <w:tr w:rsidR="00F047E9" w14:paraId="27765100" w14:textId="77777777" w:rsidTr="003C6453">
        <w:tc>
          <w:tcPr>
            <w:tcW w:w="3282" w:type="dxa"/>
          </w:tcPr>
          <w:p w14:paraId="609256FA" w14:textId="77777777" w:rsidR="00F047E9" w:rsidRDefault="00F047E9" w:rsidP="003C6453">
            <w:pPr>
              <w:rPr>
                <w:b/>
                <w:bCs/>
              </w:rPr>
            </w:pPr>
          </w:p>
        </w:tc>
        <w:tc>
          <w:tcPr>
            <w:tcW w:w="3021" w:type="dxa"/>
          </w:tcPr>
          <w:p w14:paraId="691FA5A9" w14:textId="77777777" w:rsidR="00F047E9" w:rsidRDefault="00F047E9" w:rsidP="003C6453">
            <w:pPr>
              <w:rPr>
                <w:b/>
                <w:bCs/>
              </w:rPr>
            </w:pPr>
          </w:p>
        </w:tc>
        <w:tc>
          <w:tcPr>
            <w:tcW w:w="3021" w:type="dxa"/>
          </w:tcPr>
          <w:p w14:paraId="7E23335C" w14:textId="77777777" w:rsidR="00F047E9" w:rsidRDefault="00F047E9" w:rsidP="003C6453">
            <w:pPr>
              <w:rPr>
                <w:b/>
                <w:bCs/>
              </w:rPr>
            </w:pPr>
          </w:p>
        </w:tc>
      </w:tr>
    </w:tbl>
    <w:p w14:paraId="50635B9E" w14:textId="77777777" w:rsidR="00F047E9" w:rsidRDefault="00F047E9"/>
    <w:p w14:paraId="1A000BF4" w14:textId="77777777" w:rsidR="00F047E9" w:rsidRDefault="00F047E9"/>
    <w:tbl>
      <w:tblPr>
        <w:tblStyle w:val="Tabellrutnt"/>
        <w:tblW w:w="9324" w:type="dxa"/>
        <w:tblLook w:val="04A0" w:firstRow="1" w:lastRow="0" w:firstColumn="1" w:lastColumn="0" w:noHBand="0" w:noVBand="1"/>
      </w:tblPr>
      <w:tblGrid>
        <w:gridCol w:w="3282"/>
        <w:gridCol w:w="3021"/>
        <w:gridCol w:w="3021"/>
      </w:tblGrid>
      <w:tr w:rsidR="005C1A50" w14:paraId="328CDE50" w14:textId="77777777" w:rsidTr="003C6453">
        <w:tc>
          <w:tcPr>
            <w:tcW w:w="3282" w:type="dxa"/>
          </w:tcPr>
          <w:p w14:paraId="5403DA3F" w14:textId="68423ABC" w:rsidR="005C1A50" w:rsidRDefault="005C1A50" w:rsidP="003C6453">
            <w:pPr>
              <w:rPr>
                <w:b/>
                <w:bCs/>
              </w:rPr>
            </w:pPr>
            <w:r>
              <w:rPr>
                <w:b/>
                <w:bCs/>
              </w:rPr>
              <w:t>Återvinning</w:t>
            </w:r>
          </w:p>
        </w:tc>
        <w:tc>
          <w:tcPr>
            <w:tcW w:w="3021" w:type="dxa"/>
          </w:tcPr>
          <w:p w14:paraId="32D88D96" w14:textId="49AAE902" w:rsidR="005C1A50" w:rsidRDefault="005C1A50" w:rsidP="003C6453">
            <w:pPr>
              <w:rPr>
                <w:b/>
                <w:bCs/>
              </w:rPr>
            </w:pPr>
            <w:r w:rsidRPr="00F047E9">
              <w:rPr>
                <w:b/>
                <w:bCs/>
              </w:rPr>
              <w:t>Ansvar för tillämpningen</w:t>
            </w:r>
          </w:p>
        </w:tc>
        <w:tc>
          <w:tcPr>
            <w:tcW w:w="3021" w:type="dxa"/>
          </w:tcPr>
          <w:p w14:paraId="38BC8025" w14:textId="4EF3C031" w:rsidR="005C1A50" w:rsidRDefault="00251A1D" w:rsidP="003C6453">
            <w:pPr>
              <w:rPr>
                <w:b/>
                <w:bCs/>
              </w:rPr>
            </w:pPr>
            <w:r>
              <w:rPr>
                <w:b/>
                <w:bCs/>
              </w:rPr>
              <w:t>Mål/datum</w:t>
            </w:r>
          </w:p>
        </w:tc>
      </w:tr>
      <w:tr w:rsidR="005C1A50" w:rsidRPr="005C1A50" w14:paraId="3A2D393D" w14:textId="77777777" w:rsidTr="003C6453">
        <w:tc>
          <w:tcPr>
            <w:tcW w:w="3282" w:type="dxa"/>
          </w:tcPr>
          <w:p w14:paraId="613978DB" w14:textId="7264DDAF" w:rsidR="005C1A50" w:rsidRPr="005C1A50" w:rsidRDefault="005C1A50" w:rsidP="003C6453">
            <w:r w:rsidRPr="005C1A50">
              <w:t xml:space="preserve">Rutiner för sophantering </w:t>
            </w:r>
          </w:p>
        </w:tc>
        <w:tc>
          <w:tcPr>
            <w:tcW w:w="3021" w:type="dxa"/>
          </w:tcPr>
          <w:p w14:paraId="74DE4292" w14:textId="0A90427E" w:rsidR="005C1A50" w:rsidRPr="005C1A50" w:rsidRDefault="00103259" w:rsidP="003C6453">
            <w:r>
              <w:t>Lena Wallmark</w:t>
            </w:r>
          </w:p>
        </w:tc>
        <w:tc>
          <w:tcPr>
            <w:tcW w:w="3021" w:type="dxa"/>
          </w:tcPr>
          <w:p w14:paraId="54FA6183" w14:textId="77777777" w:rsidR="005C1A50" w:rsidRDefault="001D3CAB" w:rsidP="003C6453">
            <w:r>
              <w:t>Färdigt till säsongen 2024</w:t>
            </w:r>
          </w:p>
          <w:p w14:paraId="0DACD327" w14:textId="247BC4B8" w:rsidR="00103259" w:rsidRPr="005C1A50" w:rsidRDefault="00103259" w:rsidP="003C6453">
            <w:r>
              <w:t>Klart!</w:t>
            </w:r>
          </w:p>
        </w:tc>
      </w:tr>
      <w:tr w:rsidR="001D3CAB" w:rsidRPr="005C1A50" w14:paraId="005D83FF" w14:textId="77777777" w:rsidTr="003C6453">
        <w:tc>
          <w:tcPr>
            <w:tcW w:w="3282" w:type="dxa"/>
          </w:tcPr>
          <w:p w14:paraId="31403DAE" w14:textId="77777777" w:rsidR="001D3CAB" w:rsidRDefault="001D3CAB" w:rsidP="003C6453">
            <w:r>
              <w:t xml:space="preserve">Rutin för tömning läggs till i </w:t>
            </w:r>
          </w:p>
          <w:p w14:paraId="088AF948" w14:textId="77777777" w:rsidR="001D3CAB" w:rsidRDefault="001D3CAB" w:rsidP="003C6453">
            <w:r>
              <w:t xml:space="preserve">Klubbhusvärd sommar. </w:t>
            </w:r>
          </w:p>
        </w:tc>
        <w:tc>
          <w:tcPr>
            <w:tcW w:w="3021" w:type="dxa"/>
          </w:tcPr>
          <w:p w14:paraId="5689F40E" w14:textId="77777777" w:rsidR="001D3CAB" w:rsidRDefault="001D3CAB" w:rsidP="003C6453"/>
        </w:tc>
        <w:tc>
          <w:tcPr>
            <w:tcW w:w="3021" w:type="dxa"/>
          </w:tcPr>
          <w:p w14:paraId="0564A012" w14:textId="4E74CE07" w:rsidR="001D3CAB" w:rsidRDefault="001D3CAB" w:rsidP="003C6453">
            <w:r>
              <w:t>Färdigt till säsongen 2024</w:t>
            </w:r>
            <w:r w:rsidR="00103259">
              <w:br/>
              <w:t>Klart!</w:t>
            </w:r>
          </w:p>
        </w:tc>
      </w:tr>
      <w:tr w:rsidR="005C1A50" w:rsidRPr="005C1A50" w14:paraId="3507F2C0" w14:textId="77777777" w:rsidTr="003C6453">
        <w:tc>
          <w:tcPr>
            <w:tcW w:w="3282" w:type="dxa"/>
          </w:tcPr>
          <w:p w14:paraId="73F9AA3B" w14:textId="229982B4" w:rsidR="005C1A50" w:rsidRPr="005C1A50" w:rsidRDefault="005C1A50" w:rsidP="003C6453">
            <w:r w:rsidRPr="005C1A50">
              <w:t>Sorteringskärl i kök</w:t>
            </w:r>
          </w:p>
        </w:tc>
        <w:tc>
          <w:tcPr>
            <w:tcW w:w="3021" w:type="dxa"/>
          </w:tcPr>
          <w:p w14:paraId="4C0487CD" w14:textId="136343D7" w:rsidR="005C1A50" w:rsidRPr="005C1A50" w:rsidRDefault="00A704E4" w:rsidP="003C6453">
            <w:r>
              <w:t>Lena</w:t>
            </w:r>
            <w:r w:rsidR="00103259">
              <w:t xml:space="preserve"> Wallmark</w:t>
            </w:r>
          </w:p>
        </w:tc>
        <w:tc>
          <w:tcPr>
            <w:tcW w:w="3021" w:type="dxa"/>
          </w:tcPr>
          <w:p w14:paraId="64DAB2BD" w14:textId="42604C4C" w:rsidR="005C1A50" w:rsidRPr="005C1A50" w:rsidRDefault="00A704E4" w:rsidP="003C6453">
            <w:r>
              <w:t>Klart</w:t>
            </w:r>
          </w:p>
        </w:tc>
      </w:tr>
      <w:tr w:rsidR="005C1A50" w:rsidRPr="005C1A50" w14:paraId="65E5174F" w14:textId="77777777" w:rsidTr="003C6453">
        <w:tc>
          <w:tcPr>
            <w:tcW w:w="3282" w:type="dxa"/>
          </w:tcPr>
          <w:p w14:paraId="0CF86D6B" w14:textId="2777D261" w:rsidR="005C1A50" w:rsidRPr="005C1A50" w:rsidRDefault="005C1A50" w:rsidP="003C6453">
            <w:r w:rsidRPr="005C1A50">
              <w:t>Speciella kärl för burkar och flaskor</w:t>
            </w:r>
          </w:p>
        </w:tc>
        <w:tc>
          <w:tcPr>
            <w:tcW w:w="3021" w:type="dxa"/>
          </w:tcPr>
          <w:p w14:paraId="318A6828" w14:textId="622E4700" w:rsidR="005C1A50" w:rsidRPr="005C1A50" w:rsidRDefault="00A704E4" w:rsidP="003C6453">
            <w:r>
              <w:t>Lena</w:t>
            </w:r>
            <w:r w:rsidR="00103259">
              <w:t xml:space="preserve"> Wallmark</w:t>
            </w:r>
          </w:p>
        </w:tc>
        <w:tc>
          <w:tcPr>
            <w:tcW w:w="3021" w:type="dxa"/>
          </w:tcPr>
          <w:p w14:paraId="25CA888C" w14:textId="52F5D4CC" w:rsidR="005C1A50" w:rsidRPr="005C1A50" w:rsidRDefault="00A704E4" w:rsidP="003C6453">
            <w:r>
              <w:t>Klart</w:t>
            </w:r>
          </w:p>
        </w:tc>
      </w:tr>
      <w:tr w:rsidR="00A704E4" w:rsidRPr="005C1A50" w14:paraId="5FBBAA9A" w14:textId="77777777" w:rsidTr="003C6453">
        <w:tc>
          <w:tcPr>
            <w:tcW w:w="3282" w:type="dxa"/>
          </w:tcPr>
          <w:p w14:paraId="1EDF59BD" w14:textId="35CD3600" w:rsidR="00A704E4" w:rsidRDefault="00A704E4" w:rsidP="003C6453">
            <w:r>
              <w:t>Info om rutiner till medlemmarna, via:</w:t>
            </w:r>
          </w:p>
          <w:p w14:paraId="3A1325F6" w14:textId="3CE042E3" w:rsidR="00A704E4" w:rsidRPr="005C1A50" w:rsidRDefault="00A704E4" w:rsidP="00A704E4">
            <w:r>
              <w:t>Hemsidan. mail och anslag i och utanför klubbhuset</w:t>
            </w:r>
          </w:p>
        </w:tc>
        <w:tc>
          <w:tcPr>
            <w:tcW w:w="3021" w:type="dxa"/>
          </w:tcPr>
          <w:p w14:paraId="0BA415A1" w14:textId="2466B82C" w:rsidR="00A704E4" w:rsidRDefault="00A704E4" w:rsidP="003C6453">
            <w:r>
              <w:t>Lena</w:t>
            </w:r>
            <w:r w:rsidR="00103259">
              <w:t xml:space="preserve"> Wallmark</w:t>
            </w:r>
          </w:p>
        </w:tc>
        <w:tc>
          <w:tcPr>
            <w:tcW w:w="3021" w:type="dxa"/>
          </w:tcPr>
          <w:p w14:paraId="30DE6B00" w14:textId="600382FC" w:rsidR="00A704E4" w:rsidRPr="005C1A50" w:rsidRDefault="00A704E4" w:rsidP="003C6453">
            <w:r>
              <w:t>Färdigt till säsongen 2024</w:t>
            </w:r>
          </w:p>
        </w:tc>
      </w:tr>
      <w:tr w:rsidR="00A704E4" w:rsidRPr="005C1A50" w14:paraId="4DF4CA77" w14:textId="77777777" w:rsidTr="003C6453">
        <w:tc>
          <w:tcPr>
            <w:tcW w:w="3282" w:type="dxa"/>
          </w:tcPr>
          <w:p w14:paraId="4E36E006" w14:textId="5E10ECE9" w:rsidR="00A704E4" w:rsidRDefault="00A704E4" w:rsidP="003C6453">
            <w:r>
              <w:t>Välkomstbrev till ungdomar i segelskolan</w:t>
            </w:r>
          </w:p>
        </w:tc>
        <w:tc>
          <w:tcPr>
            <w:tcW w:w="3021" w:type="dxa"/>
          </w:tcPr>
          <w:p w14:paraId="2A3D32C1" w14:textId="7DDF1238" w:rsidR="00A704E4" w:rsidRDefault="00103259" w:rsidP="003C6453">
            <w:r>
              <w:t>Jakob Falkerby</w:t>
            </w:r>
          </w:p>
        </w:tc>
        <w:tc>
          <w:tcPr>
            <w:tcW w:w="3021" w:type="dxa"/>
          </w:tcPr>
          <w:p w14:paraId="08D0D129" w14:textId="173501BB" w:rsidR="00A704E4" w:rsidRDefault="001D3CAB" w:rsidP="003C6453">
            <w:r>
              <w:t>Färdigt till säsongen 2024</w:t>
            </w:r>
          </w:p>
        </w:tc>
      </w:tr>
    </w:tbl>
    <w:p w14:paraId="33DD8353" w14:textId="77777777" w:rsidR="005C1A50" w:rsidRDefault="005C1A50"/>
    <w:p w14:paraId="7780C1AB" w14:textId="77777777" w:rsidR="00F047E9" w:rsidRDefault="00F047E9"/>
    <w:tbl>
      <w:tblPr>
        <w:tblStyle w:val="Tabellrutnt"/>
        <w:tblW w:w="9324" w:type="dxa"/>
        <w:tblLook w:val="04A0" w:firstRow="1" w:lastRow="0" w:firstColumn="1" w:lastColumn="0" w:noHBand="0" w:noVBand="1"/>
      </w:tblPr>
      <w:tblGrid>
        <w:gridCol w:w="3282"/>
        <w:gridCol w:w="3021"/>
        <w:gridCol w:w="3021"/>
      </w:tblGrid>
      <w:tr w:rsidR="00F047E9" w14:paraId="2753C585" w14:textId="77777777" w:rsidTr="003C6453">
        <w:tc>
          <w:tcPr>
            <w:tcW w:w="3282" w:type="dxa"/>
          </w:tcPr>
          <w:p w14:paraId="3B153256" w14:textId="04A93467" w:rsidR="00F047E9" w:rsidRDefault="00F047E9" w:rsidP="003C6453">
            <w:pPr>
              <w:rPr>
                <w:b/>
                <w:bCs/>
              </w:rPr>
            </w:pPr>
            <w:r>
              <w:rPr>
                <w:b/>
                <w:bCs/>
              </w:rPr>
              <w:t>Uppföljning av policyn</w:t>
            </w:r>
            <w:r w:rsidRPr="00F047E9">
              <w:rPr>
                <w:b/>
                <w:bCs/>
              </w:rPr>
              <w:t xml:space="preserve"> </w:t>
            </w:r>
          </w:p>
        </w:tc>
        <w:tc>
          <w:tcPr>
            <w:tcW w:w="3021" w:type="dxa"/>
          </w:tcPr>
          <w:p w14:paraId="3738E43C" w14:textId="3CB9D981" w:rsidR="00F047E9" w:rsidRDefault="005C1A50" w:rsidP="003C6453">
            <w:pPr>
              <w:rPr>
                <w:b/>
                <w:bCs/>
              </w:rPr>
            </w:pPr>
            <w:r w:rsidRPr="00F047E9">
              <w:rPr>
                <w:b/>
                <w:bCs/>
              </w:rPr>
              <w:t>Ansvar för tillämpningen</w:t>
            </w:r>
          </w:p>
        </w:tc>
        <w:tc>
          <w:tcPr>
            <w:tcW w:w="3021" w:type="dxa"/>
          </w:tcPr>
          <w:p w14:paraId="1C98A738" w14:textId="782107BE" w:rsidR="00F047E9" w:rsidRDefault="00251A1D" w:rsidP="003C6453">
            <w:pPr>
              <w:rPr>
                <w:b/>
                <w:bCs/>
              </w:rPr>
            </w:pPr>
            <w:r>
              <w:rPr>
                <w:b/>
                <w:bCs/>
              </w:rPr>
              <w:t>Mål/datum</w:t>
            </w:r>
          </w:p>
        </w:tc>
      </w:tr>
      <w:tr w:rsidR="00F047E9" w:rsidRPr="005C1A50" w14:paraId="50F7236D" w14:textId="77777777" w:rsidTr="003C6453">
        <w:tc>
          <w:tcPr>
            <w:tcW w:w="3282" w:type="dxa"/>
          </w:tcPr>
          <w:p w14:paraId="53CD3F4E" w14:textId="00AC5654" w:rsidR="00F047E9" w:rsidRPr="005C1A50" w:rsidRDefault="005C1A50" w:rsidP="003C6453">
            <w:r w:rsidRPr="005C1A50">
              <w:t>Två gånger/år</w:t>
            </w:r>
          </w:p>
        </w:tc>
        <w:tc>
          <w:tcPr>
            <w:tcW w:w="3021" w:type="dxa"/>
          </w:tcPr>
          <w:p w14:paraId="040271D3" w14:textId="63490B70" w:rsidR="00F047E9" w:rsidRPr="005C1A50" w:rsidRDefault="005C1A50" w:rsidP="003C6453">
            <w:r w:rsidRPr="005C1A50">
              <w:t>Styrelsen, protokollfört</w:t>
            </w:r>
          </w:p>
        </w:tc>
        <w:tc>
          <w:tcPr>
            <w:tcW w:w="3021" w:type="dxa"/>
          </w:tcPr>
          <w:p w14:paraId="6CD56100" w14:textId="1733B1D6" w:rsidR="00F047E9" w:rsidRPr="005C1A50" w:rsidRDefault="00103259" w:rsidP="003C6453">
            <w:r>
              <w:t>Kontinuerligt</w:t>
            </w:r>
          </w:p>
        </w:tc>
      </w:tr>
    </w:tbl>
    <w:p w14:paraId="32E94DA3" w14:textId="77777777" w:rsidR="00A55E42" w:rsidRPr="00F047E9" w:rsidRDefault="00A55E42"/>
    <w:sectPr w:rsidR="00A55E42" w:rsidRPr="00F047E9" w:rsidSect="00A704E4">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42B1E"/>
    <w:multiLevelType w:val="multilevel"/>
    <w:tmpl w:val="AE86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92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39"/>
    <w:rsid w:val="00103259"/>
    <w:rsid w:val="001D3CAB"/>
    <w:rsid w:val="00251A1D"/>
    <w:rsid w:val="00282565"/>
    <w:rsid w:val="005C1A50"/>
    <w:rsid w:val="00847839"/>
    <w:rsid w:val="0094077A"/>
    <w:rsid w:val="00A55E42"/>
    <w:rsid w:val="00A63841"/>
    <w:rsid w:val="00A704E4"/>
    <w:rsid w:val="00C37D59"/>
    <w:rsid w:val="00CB4D8F"/>
    <w:rsid w:val="00F047E9"/>
    <w:rsid w:val="00F26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0EB1"/>
  <w15:chartTrackingRefBased/>
  <w15:docId w15:val="{06B9D1B6-1440-934B-81C4-00BEDD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47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47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4783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4783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4783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4783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4783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4783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4783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783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4783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4783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4783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4783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4783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4783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4783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47839"/>
    <w:rPr>
      <w:rFonts w:eastAsiaTheme="majorEastAsia" w:cstheme="majorBidi"/>
      <w:color w:val="272727" w:themeColor="text1" w:themeTint="D8"/>
    </w:rPr>
  </w:style>
  <w:style w:type="paragraph" w:styleId="Rubrik">
    <w:name w:val="Title"/>
    <w:basedOn w:val="Normal"/>
    <w:next w:val="Normal"/>
    <w:link w:val="RubrikChar"/>
    <w:uiPriority w:val="10"/>
    <w:qFormat/>
    <w:rsid w:val="0084783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4783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47839"/>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4783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4783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847839"/>
    <w:rPr>
      <w:i/>
      <w:iCs/>
      <w:color w:val="404040" w:themeColor="text1" w:themeTint="BF"/>
    </w:rPr>
  </w:style>
  <w:style w:type="paragraph" w:styleId="Liststycke">
    <w:name w:val="List Paragraph"/>
    <w:basedOn w:val="Normal"/>
    <w:uiPriority w:val="34"/>
    <w:qFormat/>
    <w:rsid w:val="00847839"/>
    <w:pPr>
      <w:ind w:left="720"/>
      <w:contextualSpacing/>
    </w:pPr>
  </w:style>
  <w:style w:type="character" w:styleId="Starkbetoning">
    <w:name w:val="Intense Emphasis"/>
    <w:basedOn w:val="Standardstycketeckensnitt"/>
    <w:uiPriority w:val="21"/>
    <w:qFormat/>
    <w:rsid w:val="00847839"/>
    <w:rPr>
      <w:i/>
      <w:iCs/>
      <w:color w:val="0F4761" w:themeColor="accent1" w:themeShade="BF"/>
    </w:rPr>
  </w:style>
  <w:style w:type="paragraph" w:styleId="Starktcitat">
    <w:name w:val="Intense Quote"/>
    <w:basedOn w:val="Normal"/>
    <w:next w:val="Normal"/>
    <w:link w:val="StarktcitatChar"/>
    <w:uiPriority w:val="30"/>
    <w:qFormat/>
    <w:rsid w:val="00847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47839"/>
    <w:rPr>
      <w:i/>
      <w:iCs/>
      <w:color w:val="0F4761" w:themeColor="accent1" w:themeShade="BF"/>
    </w:rPr>
  </w:style>
  <w:style w:type="character" w:styleId="Starkreferens">
    <w:name w:val="Intense Reference"/>
    <w:basedOn w:val="Standardstycketeckensnitt"/>
    <w:uiPriority w:val="32"/>
    <w:qFormat/>
    <w:rsid w:val="00847839"/>
    <w:rPr>
      <w:b/>
      <w:bCs/>
      <w:smallCaps/>
      <w:color w:val="0F4761" w:themeColor="accent1" w:themeShade="BF"/>
      <w:spacing w:val="5"/>
    </w:rPr>
  </w:style>
  <w:style w:type="character" w:styleId="Hyperlnk">
    <w:name w:val="Hyperlink"/>
    <w:basedOn w:val="Standardstycketeckensnitt"/>
    <w:uiPriority w:val="99"/>
    <w:semiHidden/>
    <w:unhideWhenUsed/>
    <w:rsid w:val="00A55E42"/>
    <w:rPr>
      <w:color w:val="0000FF"/>
      <w:u w:val="single"/>
    </w:rPr>
  </w:style>
  <w:style w:type="table" w:styleId="Tabellrutnt">
    <w:name w:val="Table Grid"/>
    <w:basedOn w:val="Normaltabell"/>
    <w:uiPriority w:val="39"/>
    <w:rsid w:val="00F0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3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2938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Högberg Wallmark</dc:creator>
  <cp:keywords/>
  <dc:description/>
  <cp:lastModifiedBy>Maria Brixemo</cp:lastModifiedBy>
  <cp:revision>2</cp:revision>
  <dcterms:created xsi:type="dcterms:W3CDTF">2025-02-04T19:53:00Z</dcterms:created>
  <dcterms:modified xsi:type="dcterms:W3CDTF">2025-02-04T19:53:00Z</dcterms:modified>
</cp:coreProperties>
</file>